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CCBA3" w14:textId="77777777" w:rsidR="009E23A9" w:rsidRPr="006D49DB" w:rsidRDefault="00D96522">
      <w:pPr>
        <w:spacing w:after="160"/>
        <w:rPr>
          <w:b/>
          <w:bCs/>
          <w:sz w:val="28"/>
          <w:szCs w:val="28"/>
          <w:lang w:val="pl-PL"/>
        </w:rPr>
      </w:pPr>
      <w:r w:rsidRPr="006D49DB">
        <w:rPr>
          <w:b/>
          <w:bCs/>
          <w:sz w:val="28"/>
          <w:szCs w:val="28"/>
          <w:lang w:val="pl-PL"/>
        </w:rPr>
        <w:t>Naśladownictwo łączy palaczy i utrudnia rzucenie nałogu</w:t>
      </w:r>
    </w:p>
    <w:p w14:paraId="5B7D01EE" w14:textId="77777777" w:rsidR="009E23A9" w:rsidRPr="006D49DB" w:rsidRDefault="00D96522">
      <w:pPr>
        <w:rPr>
          <w:b/>
          <w:bCs/>
          <w:sz w:val="20"/>
          <w:szCs w:val="20"/>
          <w:lang w:val="pl-PL"/>
        </w:rPr>
      </w:pPr>
      <w:r w:rsidRPr="006D49DB">
        <w:rPr>
          <w:b/>
          <w:bCs/>
          <w:sz w:val="20"/>
          <w:szCs w:val="20"/>
          <w:lang w:val="pl-PL"/>
        </w:rPr>
        <w:t xml:space="preserve"> </w:t>
      </w:r>
    </w:p>
    <w:p w14:paraId="65BFFFDE" w14:textId="77777777" w:rsidR="009E23A9" w:rsidRPr="006D49DB" w:rsidRDefault="00D96522">
      <w:pPr>
        <w:spacing w:after="160"/>
        <w:rPr>
          <w:rFonts w:ascii="Arial" w:eastAsia="Arial" w:hAnsi="Arial" w:cs="Arial"/>
          <w:b/>
          <w:bCs/>
          <w:lang w:val="pl-PL"/>
        </w:rPr>
      </w:pPr>
      <w:r w:rsidRPr="006D49DB">
        <w:rPr>
          <w:rFonts w:ascii="Arial" w:eastAsia="Arial" w:hAnsi="Arial" w:cs="Arial"/>
          <w:b/>
          <w:bCs/>
          <w:lang w:val="pl-PL"/>
        </w:rPr>
        <w:t xml:space="preserve">Wspólne wychodzenie na papierosa i naśladowanie </w:t>
      </w:r>
      <w:proofErr w:type="spellStart"/>
      <w:r w:rsidRPr="006D49DB">
        <w:rPr>
          <w:rFonts w:ascii="Arial" w:eastAsia="Arial" w:hAnsi="Arial" w:cs="Arial"/>
          <w:b/>
          <w:bCs/>
          <w:lang w:val="pl-PL"/>
        </w:rPr>
        <w:t>zachowań</w:t>
      </w:r>
      <w:proofErr w:type="spellEnd"/>
      <w:r w:rsidRPr="006D49DB">
        <w:rPr>
          <w:rFonts w:ascii="Arial" w:eastAsia="Arial" w:hAnsi="Arial" w:cs="Arial"/>
          <w:b/>
          <w:bCs/>
          <w:lang w:val="pl-PL"/>
        </w:rPr>
        <w:t xml:space="preserve"> związanych z paleniem może dwukrotnie zwiększać spożycie tytoniu oraz utrudniać zerwanie z nałogiem. Naśladownictwo jako „spoiwo społeczne” w interakcjach między palaczami przeanalizowali badacze z U</w:t>
      </w:r>
      <w:r w:rsidRPr="006D49DB">
        <w:rPr>
          <w:rFonts w:ascii="Arial" w:eastAsia="Arial" w:hAnsi="Arial" w:cs="Arial"/>
          <w:b/>
          <w:bCs/>
          <w:lang w:val="pl-PL"/>
        </w:rPr>
        <w:t xml:space="preserve">niwersytetu SWPS, a wyniki opisali w czasopiśmie „International </w:t>
      </w:r>
      <w:proofErr w:type="spellStart"/>
      <w:r w:rsidRPr="006D49DB">
        <w:rPr>
          <w:rFonts w:ascii="Arial" w:eastAsia="Arial" w:hAnsi="Arial" w:cs="Arial"/>
          <w:b/>
          <w:bCs/>
          <w:lang w:val="pl-PL"/>
        </w:rPr>
        <w:t>Journal</w:t>
      </w:r>
      <w:proofErr w:type="spellEnd"/>
      <w:r w:rsidRPr="006D49DB">
        <w:rPr>
          <w:rFonts w:ascii="Arial" w:eastAsia="Arial" w:hAnsi="Arial" w:cs="Arial"/>
          <w:b/>
          <w:bCs/>
          <w:lang w:val="pl-PL"/>
        </w:rPr>
        <w:t xml:space="preserve"> of </w:t>
      </w:r>
      <w:proofErr w:type="spellStart"/>
      <w:r w:rsidRPr="006D49DB">
        <w:rPr>
          <w:rFonts w:ascii="Arial" w:eastAsia="Arial" w:hAnsi="Arial" w:cs="Arial"/>
          <w:b/>
          <w:bCs/>
          <w:lang w:val="pl-PL"/>
        </w:rPr>
        <w:t>Psychology</w:t>
      </w:r>
      <w:proofErr w:type="spellEnd"/>
      <w:r w:rsidRPr="006D49DB">
        <w:rPr>
          <w:rFonts w:ascii="Arial" w:eastAsia="Arial" w:hAnsi="Arial" w:cs="Arial"/>
          <w:b/>
          <w:bCs/>
          <w:lang w:val="pl-PL"/>
        </w:rPr>
        <w:t>”.</w:t>
      </w:r>
    </w:p>
    <w:p w14:paraId="11C7E3E2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Wnioski z badań mogą zrewolucjonizować projektowanie stref dla palaczy oraz kampanii antynikotynowych.</w:t>
      </w:r>
    </w:p>
    <w:p w14:paraId="3C7E0EB9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Na całym świecie uzależnienie od tytoniu to jedna z głównych przy</w:t>
      </w:r>
      <w:r w:rsidRPr="006D49DB">
        <w:rPr>
          <w:sz w:val="20"/>
          <w:szCs w:val="20"/>
          <w:lang w:val="pl-PL"/>
        </w:rPr>
        <w:t>czyn zgonów osób dorosłych, których można uniknąć</w:t>
      </w:r>
      <w:r w:rsidRPr="006D49DB">
        <w:rPr>
          <w:sz w:val="20"/>
          <w:szCs w:val="20"/>
          <w:vertAlign w:val="superscript"/>
          <w:lang w:val="pl-PL"/>
        </w:rPr>
        <w:footnoteReference w:id="1"/>
      </w:r>
      <w:r w:rsidRPr="006D49DB">
        <w:rPr>
          <w:sz w:val="20"/>
          <w:szCs w:val="20"/>
          <w:lang w:val="pl-PL"/>
        </w:rPr>
        <w:t xml:space="preserve">. Dlatego </w:t>
      </w:r>
      <w:hyperlink r:id="rId7">
        <w:r w:rsidRPr="006D49DB">
          <w:rPr>
            <w:color w:val="1155CC"/>
            <w:sz w:val="20"/>
            <w:szCs w:val="20"/>
            <w:u w:val="single"/>
            <w:lang w:val="pl-PL"/>
          </w:rPr>
          <w:t>naukowcy z Uniwersytetu SWPS postanowili zbadać, czy pomoc w rzuceniu nałogu może zaoferować mimikra</w:t>
        </w:r>
      </w:hyperlink>
      <w:r w:rsidRPr="006D49DB">
        <w:rPr>
          <w:sz w:val="20"/>
          <w:szCs w:val="20"/>
          <w:lang w:val="pl-PL"/>
        </w:rPr>
        <w:t>, czyli zjawisko okre</w:t>
      </w:r>
      <w:r w:rsidRPr="006D49DB">
        <w:rPr>
          <w:sz w:val="20"/>
          <w:szCs w:val="20"/>
          <w:lang w:val="pl-PL"/>
        </w:rPr>
        <w:t>ślane też jako „efekt kameleona”, w którym ludzie naśladują nawzajem swoje zachowania, słowa, a nawet mimikę twarzy, odzwierciedlającą emocje i nastroje</w:t>
      </w:r>
      <w:r w:rsidRPr="006D49DB">
        <w:rPr>
          <w:sz w:val="20"/>
          <w:szCs w:val="20"/>
          <w:vertAlign w:val="superscript"/>
          <w:lang w:val="pl-PL"/>
        </w:rPr>
        <w:footnoteReference w:id="2"/>
      </w:r>
      <w:r w:rsidRPr="006D49DB">
        <w:rPr>
          <w:sz w:val="20"/>
          <w:szCs w:val="20"/>
          <w:lang w:val="pl-PL"/>
        </w:rPr>
        <w:t>. Okazuje się, że chociaż palenie tytoniu od lat uznawano za nawyk o silnym podłożu towarzyskim, to na</w:t>
      </w:r>
      <w:r w:rsidRPr="006D49DB">
        <w:rPr>
          <w:sz w:val="20"/>
          <w:szCs w:val="20"/>
          <w:lang w:val="pl-PL"/>
        </w:rPr>
        <w:t>jnowsze eksperymenty pokazują, że za tym zjawiskiem stoi właśnie mechanizm mimikry, a nie sama obecność innych osób.</w:t>
      </w:r>
    </w:p>
    <w:p w14:paraId="4B079CD5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b/>
          <w:bCs/>
          <w:sz w:val="20"/>
          <w:szCs w:val="20"/>
          <w:lang w:val="pl-PL"/>
        </w:rPr>
        <w:t>Naśladownictwo wzmaga sympatię i palenie</w:t>
      </w:r>
    </w:p>
    <w:p w14:paraId="7E18781C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W pierwszym eksperymencie przeprowadzonym przez naukowców w laboratorium wzięło udział 40 dorosłyc</w:t>
      </w:r>
      <w:r w:rsidRPr="006D49DB">
        <w:rPr>
          <w:sz w:val="20"/>
          <w:szCs w:val="20"/>
          <w:lang w:val="pl-PL"/>
        </w:rPr>
        <w:t>h osób, z którymi przeprowadzono krótkie rozmowy na temat prowadzonego stylu życia. Podczas rozmów z częścią osób eksperymentator dyskretnie powielał ruchy uczestników, natomiast w grupie kontrolnej tego nie robił. Następnie uczestników zaproszono do palar</w:t>
      </w:r>
      <w:r w:rsidRPr="006D49DB">
        <w:rPr>
          <w:sz w:val="20"/>
          <w:szCs w:val="20"/>
          <w:lang w:val="pl-PL"/>
        </w:rPr>
        <w:t xml:space="preserve">ni. I co się okazało? Osoby naśladowane wypaliły średnio 2,5 papierosa, czyli dwa razy więcej niż w grupie kontrolnej, której gestów nie kopiowano. Dodatkowo ci uczestnicy deklarowali większą sympatię do </w:t>
      </w:r>
      <w:r w:rsidRPr="006D49DB">
        <w:rPr>
          <w:sz w:val="20"/>
          <w:szCs w:val="20"/>
          <w:lang w:val="pl-PL"/>
        </w:rPr>
        <w:lastRenderedPageBreak/>
        <w:t xml:space="preserve">eksperymentatora. </w:t>
      </w:r>
    </w:p>
    <w:p w14:paraId="0BC4B71F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– Wyniki wykazały, że wcześniej m</w:t>
      </w:r>
      <w:r w:rsidRPr="006D49DB">
        <w:rPr>
          <w:sz w:val="20"/>
          <w:szCs w:val="20"/>
          <w:lang w:val="pl-PL"/>
        </w:rPr>
        <w:t>imikra prowadziła do wzrostu spożycia papierosów. Założyliśmy, że zgodnie z hipotezą „spoiwa społecznego” powielanie ruchów zwiększa sympatię do osoby, która nas naśladuje. W eksperymencie to właśnie powstałe poczucie więzi zadziałało jak niebezpieczny i n</w:t>
      </w:r>
      <w:r w:rsidRPr="006D49DB">
        <w:rPr>
          <w:sz w:val="20"/>
          <w:szCs w:val="20"/>
          <w:lang w:val="pl-PL"/>
        </w:rPr>
        <w:t>iezdrowy katalizator intensywniejszego sięgania po tytoń – mówi główny autor badania psycholog społeczny prof. dr hab. Wojciech Kulesza, kierownik Katedry Psychologii Społecznej z Wydziału Psychologii w Warszawie Uniwersytetu SWPS.</w:t>
      </w:r>
    </w:p>
    <w:p w14:paraId="14B1D7F0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b/>
          <w:bCs/>
          <w:sz w:val="20"/>
          <w:szCs w:val="20"/>
          <w:lang w:val="pl-PL"/>
        </w:rPr>
        <w:t>Mimikra zniechęca do roz</w:t>
      </w:r>
      <w:r w:rsidRPr="006D49DB">
        <w:rPr>
          <w:b/>
          <w:bCs/>
          <w:sz w:val="20"/>
          <w:szCs w:val="20"/>
          <w:lang w:val="pl-PL"/>
        </w:rPr>
        <w:t>stania z nałogiem</w:t>
      </w:r>
    </w:p>
    <w:p w14:paraId="05B5C418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Drugi etap badań (z udziałem 120 osób) zrealizowano w naturalnym środowisku – w strefach dla palaczy warszawskich klubów i pubów. Uczestników podzielono losowo na trzy grupy. W grupie kontrolnej prowadzący eksperyment wcale nie palił, w d</w:t>
      </w:r>
      <w:r w:rsidRPr="006D49DB">
        <w:rPr>
          <w:sz w:val="20"/>
          <w:szCs w:val="20"/>
          <w:lang w:val="pl-PL"/>
        </w:rPr>
        <w:t xml:space="preserve">rugiej grupie (mimikra) prowadzący palił, zaciągając się chwilę po uczestniku i wydmuchiwał dym w tym samym kierunku. W trzeciej grupie osoba prowadząca eksperyment paliła, ale w sposób niezsynchronizowany z uczestnikami. </w:t>
      </w:r>
    </w:p>
    <w:p w14:paraId="29307F26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Z badanymi osobami przeprowadzono</w:t>
      </w:r>
      <w:r w:rsidRPr="006D49DB">
        <w:rPr>
          <w:sz w:val="20"/>
          <w:szCs w:val="20"/>
          <w:lang w:val="pl-PL"/>
        </w:rPr>
        <w:t xml:space="preserve"> krótkie wywiady na temat stylu życia, a potem poproszono o wypełnienie kwestionariusza. Zapytano ich m.in. o to, czy zamierzają rzucić nałóg w ciągu najbliższych 5 lat i czy rozważają przerzucenie się na e-papierosy. </w:t>
      </w:r>
    </w:p>
    <w:p w14:paraId="448A91A6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– Efekt naśladownictwa okazał się bar</w:t>
      </w:r>
      <w:r w:rsidRPr="006D49DB">
        <w:rPr>
          <w:sz w:val="20"/>
          <w:szCs w:val="20"/>
          <w:lang w:val="pl-PL"/>
        </w:rPr>
        <w:t>dzo widoczny: zgranie palenia obniżyło deklarowaną chęć rzucenia palenia w perspektywie 5 lat z poziomu 8,80 (w grupie kontrolnej) do zaledwie 2,65 w 10-punktowej skali. Sama obecność osoby palącej nie obniżała u uczestników motywacji do zerwania z nałogie</w:t>
      </w:r>
      <w:r w:rsidRPr="006D49DB">
        <w:rPr>
          <w:sz w:val="20"/>
          <w:szCs w:val="20"/>
          <w:lang w:val="pl-PL"/>
        </w:rPr>
        <w:t>m, co oznacza, że nie chodzi o samo poczucie przynależności do grupy, ale właśnie o naśladowanie – zauważa współautor badania psycholog dr Paweł Muniak z Wydziału Psychologii w Warszawie USWPS.</w:t>
      </w:r>
    </w:p>
    <w:p w14:paraId="130253AA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Co ciekawe, osoby naśladowane wykazywały znacznie wyższą gotow</w:t>
      </w:r>
      <w:r w:rsidRPr="006D49DB">
        <w:rPr>
          <w:sz w:val="20"/>
          <w:szCs w:val="20"/>
          <w:lang w:val="pl-PL"/>
        </w:rPr>
        <w:t>ość do zamiany zwykłych papierosów na e-papierosy (wzrost z 2,65 do 8,32).</w:t>
      </w:r>
    </w:p>
    <w:p w14:paraId="5B5069BD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b/>
          <w:bCs/>
          <w:sz w:val="20"/>
          <w:szCs w:val="20"/>
          <w:lang w:val="pl-PL"/>
        </w:rPr>
        <w:lastRenderedPageBreak/>
        <w:t>To koniec wspólnych palarni?</w:t>
      </w:r>
    </w:p>
    <w:p w14:paraId="36F54E5A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Badacze zauważają, że naśladownictwo może pomóc terapeutom w opracowaniu skuteczniejszych strategii interwencyjnych. Zrozumienie tego zjawiska ma równie</w:t>
      </w:r>
      <w:r w:rsidRPr="006D49DB">
        <w:rPr>
          <w:sz w:val="20"/>
          <w:szCs w:val="20"/>
          <w:lang w:val="pl-PL"/>
        </w:rPr>
        <w:t>ż duże znaczenie dla kampanii antynikotynowych. Walka z nałogiem wymaga kompleksowego podejścia, które łączy strategie społeczne i środowiskowe z tradycyjnymi psychologicznymi i biologicznymi metodami radzenia sobie z uzależnieniem od tytoniu. Autorzy arty</w:t>
      </w:r>
      <w:r w:rsidRPr="006D49DB">
        <w:rPr>
          <w:sz w:val="20"/>
          <w:szCs w:val="20"/>
          <w:lang w:val="pl-PL"/>
        </w:rPr>
        <w:t xml:space="preserve">kułu proponują np. przekształcanie wspólnych palarni w przestrzenie jednoosobowe. Brak kontaktu z innymi eliminuje zjawisko naśladownictwa i osłabia więzi utrwalające nałóg. </w:t>
      </w:r>
    </w:p>
    <w:p w14:paraId="7BCBB29A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Istotne jest również edukowanie palaczy o roli mimikry w podtrzymywaniu uzależnie</w:t>
      </w:r>
      <w:r w:rsidRPr="006D49DB">
        <w:rPr>
          <w:sz w:val="20"/>
          <w:szCs w:val="20"/>
          <w:lang w:val="pl-PL"/>
        </w:rPr>
        <w:t xml:space="preserve">nia od nikotyny. </w:t>
      </w:r>
    </w:p>
    <w:p w14:paraId="508FAAF7" w14:textId="77777777" w:rsidR="009E23A9" w:rsidRPr="006D49DB" w:rsidRDefault="00D96522">
      <w:pPr>
        <w:spacing w:before="240" w:after="240" w:line="300" w:lineRule="auto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– Wyniki naszych eksperymentów mają istotne znaczenie praktyczne, zwłaszcza dla specjalistów zajmujących się leczeniem uzależnień. Pokazują one, że palacze, których zachowania były naśladowane, chociaż częściej deklarowali przejście na e-</w:t>
      </w:r>
      <w:r w:rsidRPr="006D49DB">
        <w:rPr>
          <w:sz w:val="20"/>
          <w:szCs w:val="20"/>
          <w:lang w:val="pl-PL"/>
        </w:rPr>
        <w:t xml:space="preserve">papierosy (uważane za zdrowszą alternatywę), to znacznie rzadziej rozważali całkowite rzucenie palenia niż uczestnicy grupy kontrolnej. Dowodzi to złożonej zależności czynników psychologicznych, społecznych i środowiskowych w </w:t>
      </w:r>
      <w:proofErr w:type="spellStart"/>
      <w:r w:rsidRPr="006D49DB">
        <w:rPr>
          <w:sz w:val="20"/>
          <w:szCs w:val="20"/>
          <w:lang w:val="pl-PL"/>
        </w:rPr>
        <w:t>zachowaniach</w:t>
      </w:r>
      <w:proofErr w:type="spellEnd"/>
      <w:r w:rsidRPr="006D49DB">
        <w:rPr>
          <w:sz w:val="20"/>
          <w:szCs w:val="20"/>
          <w:lang w:val="pl-PL"/>
        </w:rPr>
        <w:t xml:space="preserve"> związanych z tym </w:t>
      </w:r>
      <w:r w:rsidRPr="006D49DB">
        <w:rPr>
          <w:sz w:val="20"/>
          <w:szCs w:val="20"/>
          <w:lang w:val="pl-PL"/>
        </w:rPr>
        <w:t>nałogiem – podkreśla prof. Kulesza z USWPS.</w:t>
      </w:r>
    </w:p>
    <w:p w14:paraId="329EAAA9" w14:textId="77777777" w:rsidR="009E23A9" w:rsidRPr="006D49DB" w:rsidRDefault="00D96522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6D49DB">
        <w:rPr>
          <w:rFonts w:ascii="Arial" w:eastAsia="Arial" w:hAnsi="Arial" w:cs="Arial"/>
          <w:b/>
          <w:bCs/>
          <w:lang w:val="pl-PL"/>
        </w:rPr>
        <w:t>****</w:t>
      </w:r>
    </w:p>
    <w:p w14:paraId="0C05E293" w14:textId="77777777" w:rsidR="009E23A9" w:rsidRPr="006D49DB" w:rsidRDefault="009E23A9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58D1D853" w14:textId="77777777" w:rsidR="009E23A9" w:rsidRPr="006D49DB" w:rsidRDefault="00D96522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D49DB">
        <w:rPr>
          <w:b/>
          <w:bCs/>
          <w:sz w:val="20"/>
          <w:szCs w:val="20"/>
          <w:lang w:val="pl-PL"/>
        </w:rPr>
        <w:t>Uniwersytet SWPS</w:t>
      </w:r>
      <w:r w:rsidRPr="006D49DB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</w:t>
      </w:r>
      <w:r w:rsidRPr="006D49DB">
        <w:rPr>
          <w:sz w:val="20"/>
          <w:szCs w:val="20"/>
          <w:lang w:val="pl-PL"/>
        </w:rPr>
        <w:t>tałci blisko 18 tys. studentek i studentów – w tym ponad tysiąc z zagranicy oraz ponad 4,5 tys. słuchaczek i słuchaczy studiów podyplomowych na ponad 50 kierunkach studiów stacjonarnych i ponad 40 niestacjonarnych i ok. 240 kierunkach studiów podyplomowych</w:t>
      </w:r>
      <w:r w:rsidRPr="006D49DB">
        <w:rPr>
          <w:sz w:val="20"/>
          <w:szCs w:val="20"/>
          <w:lang w:val="pl-PL"/>
        </w:rPr>
        <w:t>. Uniwersytet oferuje programy studiów z psychologii, prawa, zarządzania, dziennikarstwa, filologii, kulturoznawstwa, nowych technologii oraz grafiki i wzornictwa, a także edukację w postaci szkoleń i krótkich kursów akademickich. Uczelnia dba o wysoką war</w:t>
      </w:r>
      <w:r w:rsidRPr="006D49DB">
        <w:rPr>
          <w:sz w:val="20"/>
          <w:szCs w:val="20"/>
          <w:lang w:val="pl-PL"/>
        </w:rPr>
        <w:t xml:space="preserve">tość akademicką naszych programów oraz ich dostosowanie do wymagań zmieniającego </w:t>
      </w:r>
      <w:r w:rsidRPr="006D49DB">
        <w:rPr>
          <w:sz w:val="20"/>
          <w:szCs w:val="20"/>
          <w:lang w:val="pl-PL"/>
        </w:rPr>
        <w:lastRenderedPageBreak/>
        <w:t>się rynku pracy. Kampusy Uniwersytetu SWPS znajdują się w sześciu miastach: Warszawie (siedziba), Wrocławiu, Sopocie, Poznaniu, Katowicach i w Krakowie.</w:t>
      </w:r>
    </w:p>
    <w:p w14:paraId="0564C777" w14:textId="77777777" w:rsidR="009E23A9" w:rsidRPr="006D49DB" w:rsidRDefault="009E23A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644D582" w14:textId="77777777" w:rsidR="009E23A9" w:rsidRPr="006D49DB" w:rsidRDefault="00D96522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>Uczelnia posiada upra</w:t>
      </w:r>
      <w:r w:rsidRPr="006D49DB">
        <w:rPr>
          <w:sz w:val="20"/>
          <w:szCs w:val="20"/>
          <w:lang w:val="pl-PL"/>
        </w:rPr>
        <w:t>wnienia do nadawania stopnia doktora oraz doktora habilitowanego w siedmiu dyscyplinach: psychologia, nauki o kulturze i religii, literaturoznawstwo, nauki prawne, nauki socjologiczne, nauki o polityce i administracji, sztuki plastyczne i konserwacja dzieł</w:t>
      </w:r>
      <w:r w:rsidRPr="006D49DB">
        <w:rPr>
          <w:sz w:val="20"/>
          <w:szCs w:val="20"/>
          <w:lang w:val="pl-PL"/>
        </w:rPr>
        <w:t xml:space="preserve"> sztuki. Na Uniwersytecie SWPS funkcjonuje pięć instytutów naukowych, które zajmują się organizacją i koordynacją działalności naukowej pracowników badawczych i badawczo-dydaktycznych uczelni w poszczególnych dyscyplinach: Instytut Psychologii, Instytut Na</w:t>
      </w:r>
      <w:r w:rsidRPr="006D49DB">
        <w:rPr>
          <w:sz w:val="20"/>
          <w:szCs w:val="20"/>
          <w:lang w:val="pl-PL"/>
        </w:rPr>
        <w:t>uk Humanistycznych, Instytut Nauk Społecznych, Instytut Prawa oraz Instytut Projektowania. W uczelni działa blisko 30 centrów badawczych oraz ponad 175 kół naukowych.</w:t>
      </w:r>
    </w:p>
    <w:p w14:paraId="19BF9553" w14:textId="77777777" w:rsidR="009E23A9" w:rsidRPr="006D49DB" w:rsidRDefault="009E23A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65D0545C" w14:textId="77777777" w:rsidR="009E23A9" w:rsidRPr="006D49DB" w:rsidRDefault="00D96522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D49DB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6D49DB">
        <w:rPr>
          <w:sz w:val="20"/>
          <w:szCs w:val="20"/>
          <w:lang w:val="pl-PL"/>
        </w:rPr>
        <w:t>European</w:t>
      </w:r>
      <w:proofErr w:type="spellEnd"/>
      <w:r w:rsidRPr="006D49DB">
        <w:rPr>
          <w:sz w:val="20"/>
          <w:szCs w:val="20"/>
          <w:lang w:val="pl-PL"/>
        </w:rPr>
        <w:t xml:space="preserve"> Reform University Alliance (ERUA). Jest to s</w:t>
      </w:r>
      <w:r w:rsidRPr="006D49DB">
        <w:rPr>
          <w:sz w:val="20"/>
          <w:szCs w:val="20"/>
          <w:lang w:val="pl-PL"/>
        </w:rPr>
        <w:t>ojusz uczelni zawarty w ramach Inicjatywy Uniwersytetów Europejskich, powołanej i finansowanej przez Komisję Europejską.</w:t>
      </w:r>
    </w:p>
    <w:p w14:paraId="04414B01" w14:textId="77777777" w:rsidR="009E23A9" w:rsidRPr="006D49DB" w:rsidRDefault="009E23A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9E23A9" w:rsidRPr="006D49DB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18B7A0" w14:textId="77777777" w:rsidR="00D96522" w:rsidRDefault="00D96522">
      <w:r>
        <w:separator/>
      </w:r>
    </w:p>
  </w:endnote>
  <w:endnote w:type="continuationSeparator" w:id="0">
    <w:p w14:paraId="047253F2" w14:textId="77777777" w:rsidR="00D96522" w:rsidRDefault="00D965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0A59A7D-1EE3-49DF-80E3-4C795595144B}"/>
    <w:embedBold r:id="rId2" w:fontKey="{5D82C896-B704-4CEB-A905-DFB03D45A8D9}"/>
    <w:embedItalic r:id="rId3" w:fontKey="{882BD120-34AC-48D2-92FF-A752552AA4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EEE906B9-9C47-43C9-BD17-14A10D26DC9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1BAD6E8-00BB-4683-A76D-0BFBC3189C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7674006C-8041-4C3E-BEC8-7A759A8645D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10B4ADF-41AF-4AB1-90BC-1EDDCF5B06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010B0E" w14:textId="77777777" w:rsidR="009E23A9" w:rsidRDefault="00D965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39EA9C8C" wp14:editId="78848A96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E7A8C0" w14:textId="77777777" w:rsidR="009E23A9" w:rsidRDefault="00D96522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7741BA9E" w14:textId="77777777" w:rsidR="009E23A9" w:rsidRDefault="00D96522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0FC593A2" wp14:editId="29BD5A23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A1ADA9" w14:textId="77777777" w:rsidR="009E23A9" w:rsidRDefault="00D96522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CBF310" w14:textId="77777777" w:rsidR="00D96522" w:rsidRDefault="00D96522">
      <w:r>
        <w:separator/>
      </w:r>
    </w:p>
  </w:footnote>
  <w:footnote w:type="continuationSeparator" w:id="0">
    <w:p w14:paraId="3C2E6D66" w14:textId="77777777" w:rsidR="00D96522" w:rsidRDefault="00D96522">
      <w:r>
        <w:continuationSeparator/>
      </w:r>
    </w:p>
  </w:footnote>
  <w:footnote w:id="1">
    <w:p w14:paraId="53A54653" w14:textId="77777777" w:rsidR="009E23A9" w:rsidRDefault="00D96522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Mathers, C. D., &amp; </w:t>
      </w:r>
      <w:proofErr w:type="spellStart"/>
      <w:r>
        <w:rPr>
          <w:sz w:val="16"/>
          <w:szCs w:val="16"/>
        </w:rPr>
        <w:t>Loncar</w:t>
      </w:r>
      <w:proofErr w:type="spellEnd"/>
      <w:r>
        <w:rPr>
          <w:sz w:val="16"/>
          <w:szCs w:val="16"/>
        </w:rPr>
        <w:t xml:space="preserve">, D. (2006). Projections of global mortality and burden of disease from 2002 to 2030. </w:t>
      </w:r>
      <w:proofErr w:type="spellStart"/>
      <w:r>
        <w:rPr>
          <w:i/>
          <w:iCs/>
          <w:sz w:val="16"/>
          <w:szCs w:val="16"/>
        </w:rPr>
        <w:t>PLoS</w:t>
      </w:r>
      <w:proofErr w:type="spellEnd"/>
      <w:r>
        <w:rPr>
          <w:i/>
          <w:iCs/>
          <w:sz w:val="16"/>
          <w:szCs w:val="16"/>
        </w:rPr>
        <w:t xml:space="preserve"> Medicine, 3</w:t>
      </w:r>
      <w:r>
        <w:rPr>
          <w:sz w:val="16"/>
          <w:szCs w:val="16"/>
        </w:rPr>
        <w:t>(11), e442.</w:t>
      </w:r>
      <w:hyperlink r:id="rId1">
        <w:r>
          <w:rPr>
            <w:sz w:val="16"/>
            <w:szCs w:val="16"/>
          </w:rPr>
          <w:t xml:space="preserve"> https://doi.org/10.1371/journal.pmed.0030442</w:t>
        </w:r>
      </w:hyperlink>
    </w:p>
  </w:footnote>
  <w:footnote w:id="2">
    <w:p w14:paraId="0687AEC7" w14:textId="77777777" w:rsidR="009E23A9" w:rsidRDefault="00D96522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Duffy, </w:t>
      </w:r>
      <w:r>
        <w:rPr>
          <w:sz w:val="16"/>
          <w:szCs w:val="16"/>
        </w:rPr>
        <w:t xml:space="preserve">K. A., Green, P., &amp; Chartrand, T. L. (2020). Mimicry and modeling of health(-risk) behaviors: How others impact our health(-risk) behaviors without our awareness. </w:t>
      </w:r>
      <w:r>
        <w:rPr>
          <w:i/>
          <w:iCs/>
          <w:sz w:val="16"/>
          <w:szCs w:val="16"/>
        </w:rPr>
        <w:t>Journal of Nonverbal Behavior, 44</w:t>
      </w:r>
      <w:r>
        <w:rPr>
          <w:sz w:val="16"/>
          <w:szCs w:val="16"/>
        </w:rPr>
        <w:t>(1), 5–40.</w:t>
      </w:r>
      <w:hyperlink r:id="rId2">
        <w:r>
          <w:rPr>
            <w:sz w:val="16"/>
            <w:szCs w:val="16"/>
          </w:rPr>
          <w:t xml:space="preserve"> https://doi.org/10.1007/s10919-019-00318-x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7975D" w14:textId="77777777" w:rsidR="009E23A9" w:rsidRDefault="00D965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5BFB04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2F5047" w14:textId="77777777" w:rsidR="009E23A9" w:rsidRDefault="00D965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7F38FDA" wp14:editId="65E26932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0739E7" w14:textId="77777777" w:rsidR="009E23A9" w:rsidRDefault="00D965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037B19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3A9"/>
    <w:rsid w:val="006D49DB"/>
    <w:rsid w:val="009E23A9"/>
    <w:rsid w:val="00D96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D739D19"/>
  <w15:docId w15:val="{59591080-22F6-4DF0-861B-6B5B439CC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onlinelibrary.wiley.com/doi/10.1002/ijop.70248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doi.org/10.1007/s10919-019-00318-x" TargetMode="External"/><Relationship Id="rId1" Type="http://schemas.openxmlformats.org/officeDocument/2006/relationships/hyperlink" Target="https://doi.org/10.1371/journal.pmed.0030442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g1+lJeM+zHOJmzZ2zNhiXl5pRA==">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976</Words>
  <Characters>5858</Characters>
  <Application>Microsoft Office Word</Application>
  <DocSecurity>0</DocSecurity>
  <Lines>48</Lines>
  <Paragraphs>13</Paragraphs>
  <ScaleCrop>false</ScaleCrop>
  <Company>Uniwersytet SWPS</Company>
  <LinksUpToDate>false</LinksUpToDate>
  <CharactersWithSpaces>6821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2026-08-20T08:23:00Z</dcterms:created>
  <dcterms:modified xsi:type="dcterms:W3CDTF">2026-08-20T08:24:00Z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